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Informacja</w:t>
      </w:r>
      <w:r>
        <w:rPr>
          <w:spacing w:val="-5"/>
        </w:rPr>
        <w:t> </w:t>
      </w:r>
      <w:r>
        <w:rPr>
          <w:spacing w:val="-2"/>
        </w:rPr>
        <w:t>dodatkowa</w:t>
      </w:r>
    </w:p>
    <w:p>
      <w:pPr>
        <w:spacing w:line="240" w:lineRule="auto" w:before="207" w:after="1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575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I.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Wprowadzenie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sprawozdania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finansowego,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obejmuje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szczególności:</w:t>
            </w:r>
          </w:p>
        </w:tc>
      </w:tr>
      <w:tr>
        <w:trPr>
          <w:trHeight w:val="577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ind w:left="163"/>
              <w:rPr>
                <w:b/>
                <w:sz w:val="22"/>
              </w:rPr>
            </w:pPr>
            <w:r>
              <w:rPr>
                <w:b/>
                <w:sz w:val="22"/>
              </w:rPr>
              <w:t>Powiatowy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Środowiskowy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Dom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Samopomocy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Golubiu-</w:t>
            </w:r>
            <w:r>
              <w:rPr>
                <w:b/>
                <w:spacing w:val="-2"/>
                <w:sz w:val="22"/>
              </w:rPr>
              <w:t>Dobrzyniu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nazwę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41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Golub-Dobrzyń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siedzibę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ul.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Dr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J.G.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Koppa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1A,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87-400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Golub-</w:t>
            </w:r>
            <w:r>
              <w:rPr>
                <w:b/>
                <w:spacing w:val="-2"/>
                <w:sz w:val="22"/>
              </w:rPr>
              <w:t>Dobrzyń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adres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1139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line="276" w:lineRule="auto"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PKD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8810Z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Pomoc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społeczna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bez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zakwaterowania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dla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osób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podeszłym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wieku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osób </w:t>
            </w:r>
            <w:r>
              <w:rPr>
                <w:b/>
                <w:spacing w:val="-2"/>
                <w:sz w:val="22"/>
              </w:rPr>
              <w:t>niepełnosprawnych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podstawowy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przedmiot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działalności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Przedmiotowe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sprawozdanie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finansowe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obejmuje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rok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obrotowy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od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01.01.2025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31.12.2025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wskazanie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okresu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objętego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sprawozdaniem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ind w:left="218"/>
              <w:rPr>
                <w:sz w:val="22"/>
              </w:rPr>
            </w:pPr>
            <w:r>
              <w:rPr>
                <w:spacing w:val="-2"/>
                <w:sz w:val="22"/>
              </w:rPr>
              <w:t>********************</w:t>
            </w:r>
          </w:p>
        </w:tc>
      </w:tr>
      <w:tr>
        <w:trPr>
          <w:trHeight w:val="1012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wskazanie,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że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sprawozdanie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finansowe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zawiera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dane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łączne</w:t>
            </w:r>
          </w:p>
        </w:tc>
      </w:tr>
      <w:tr>
        <w:trPr>
          <w:trHeight w:val="143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8"/>
              <w:ind w:right="99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Sprawozdanie finansowe sporządzone zostało na podstawie ksiąg rachunkowych prowadzonych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roku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obrotowym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zgodnie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z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dokumentacją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przyjętych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zasad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rachunkowości ustaloną i wprowadzoną do stosowania na podstawie Zarządzenia Nr 33/2022 z dnia </w:t>
            </w:r>
            <w:r>
              <w:rPr>
                <w:b/>
                <w:spacing w:val="-2"/>
                <w:sz w:val="22"/>
              </w:rPr>
              <w:t>31.08.2022</w:t>
            </w:r>
          </w:p>
        </w:tc>
      </w:tr>
      <w:tr>
        <w:trPr>
          <w:trHeight w:val="849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4.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8"/>
              <w:rPr>
                <w:sz w:val="22"/>
              </w:rPr>
            </w:pPr>
            <w:r>
              <w:rPr>
                <w:sz w:val="22"/>
              </w:rPr>
              <w:t>omówienie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przyjętych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zasad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(polityki) rachunkowości,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tym metod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wyceny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aktywów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 pasywów (także amortyzacji)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1910" w:h="16840"/>
          <w:pgMar w:top="136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72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77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II.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Dodatkowe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informacje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objaśnienia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obejmują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szczególności:</w:t>
            </w:r>
          </w:p>
        </w:tc>
      </w:tr>
    </w:tbl>
    <w:p>
      <w:pPr>
        <w:spacing w:line="240" w:lineRule="auto" w:before="68" w:after="1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606" w:hRule="atLeast"/>
        </w:trPr>
        <w:tc>
          <w:tcPr>
            <w:tcW w:w="953" w:type="dxa"/>
          </w:tcPr>
          <w:p>
            <w:pPr>
              <w:pStyle w:val="TableParagraph"/>
              <w:spacing w:before="51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716" w:hRule="atLeast"/>
        </w:trPr>
        <w:tc>
          <w:tcPr>
            <w:tcW w:w="953" w:type="dxa"/>
          </w:tcPr>
          <w:p>
            <w:pPr>
              <w:pStyle w:val="TableParagraph"/>
              <w:spacing w:before="51"/>
              <w:rPr>
                <w:sz w:val="22"/>
              </w:rPr>
            </w:pPr>
            <w:r>
              <w:rPr>
                <w:spacing w:val="-4"/>
                <w:sz w:val="22"/>
              </w:rPr>
              <w:t>1.1.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1"/>
              <w:ind w:right="91"/>
              <w:jc w:val="both"/>
              <w:rPr>
                <w:sz w:val="22"/>
              </w:rPr>
            </w:pPr>
            <w:r>
              <w:rPr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66" w:after="17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138816">
                <wp:simplePos x="0" y="0"/>
                <wp:positionH relativeFrom="page">
                  <wp:posOffset>685800</wp:posOffset>
                </wp:positionH>
                <wp:positionV relativeFrom="page">
                  <wp:posOffset>917447</wp:posOffset>
                </wp:positionV>
                <wp:extent cx="6231890" cy="865378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31890" cy="8653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1890" h="8653780">
                              <a:moveTo>
                                <a:pt x="6225159" y="0"/>
                              </a:moveTo>
                              <a:lnTo>
                                <a:pt x="622515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8100"/>
                              </a:lnTo>
                              <a:lnTo>
                                <a:pt x="0" y="8647176"/>
                              </a:lnTo>
                              <a:lnTo>
                                <a:pt x="0" y="8653272"/>
                              </a:lnTo>
                              <a:lnTo>
                                <a:pt x="6096" y="8653272"/>
                              </a:lnTo>
                              <a:lnTo>
                                <a:pt x="605282" y="8653272"/>
                              </a:lnTo>
                              <a:lnTo>
                                <a:pt x="611378" y="8653272"/>
                              </a:lnTo>
                              <a:lnTo>
                                <a:pt x="6225159" y="8653272"/>
                              </a:lnTo>
                              <a:lnTo>
                                <a:pt x="6225159" y="8647176"/>
                              </a:lnTo>
                              <a:lnTo>
                                <a:pt x="611378" y="8647176"/>
                              </a:lnTo>
                              <a:lnTo>
                                <a:pt x="611378" y="38100"/>
                              </a:lnTo>
                              <a:lnTo>
                                <a:pt x="611378" y="6108"/>
                              </a:lnTo>
                              <a:lnTo>
                                <a:pt x="605282" y="6108"/>
                              </a:lnTo>
                              <a:lnTo>
                                <a:pt x="605282" y="38100"/>
                              </a:lnTo>
                              <a:lnTo>
                                <a:pt x="605282" y="8647176"/>
                              </a:lnTo>
                              <a:lnTo>
                                <a:pt x="6096" y="8647176"/>
                              </a:lnTo>
                              <a:lnTo>
                                <a:pt x="6096" y="38100"/>
                              </a:lnTo>
                              <a:lnTo>
                                <a:pt x="6096" y="6096"/>
                              </a:lnTo>
                              <a:lnTo>
                                <a:pt x="605282" y="6096"/>
                              </a:lnTo>
                              <a:lnTo>
                                <a:pt x="611378" y="6096"/>
                              </a:lnTo>
                              <a:lnTo>
                                <a:pt x="6225159" y="6096"/>
                              </a:lnTo>
                              <a:lnTo>
                                <a:pt x="6225159" y="0"/>
                              </a:lnTo>
                              <a:close/>
                            </a:path>
                            <a:path w="6231890" h="8653780">
                              <a:moveTo>
                                <a:pt x="6231369" y="0"/>
                              </a:moveTo>
                              <a:lnTo>
                                <a:pt x="6225286" y="0"/>
                              </a:lnTo>
                              <a:lnTo>
                                <a:pt x="6225286" y="6096"/>
                              </a:lnTo>
                              <a:lnTo>
                                <a:pt x="6225286" y="38100"/>
                              </a:lnTo>
                              <a:lnTo>
                                <a:pt x="6225286" y="8647176"/>
                              </a:lnTo>
                              <a:lnTo>
                                <a:pt x="6225286" y="8653272"/>
                              </a:lnTo>
                              <a:lnTo>
                                <a:pt x="6231369" y="8653272"/>
                              </a:lnTo>
                              <a:lnTo>
                                <a:pt x="6231369" y="8647176"/>
                              </a:lnTo>
                              <a:lnTo>
                                <a:pt x="6231369" y="38100"/>
                              </a:lnTo>
                              <a:lnTo>
                                <a:pt x="6231369" y="6096"/>
                              </a:lnTo>
                              <a:lnTo>
                                <a:pt x="62313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00004pt;margin-top:72.239944pt;width:490.7pt;height:681.4pt;mso-position-horizontal-relative:page;mso-position-vertical-relative:page;z-index:-16177664" id="docshape1" coordorigin="1080,1445" coordsize="9814,13628" path="m10883,1445l2043,1445,2033,1445,2033,1445,1090,1445,1080,1445,1080,1454,1080,1505,1080,15062,1080,15072,1090,15072,2033,15072,2033,15072,2043,15072,10883,15072,10883,15062,2043,15062,2043,1505,2043,1454,2033,1454,2033,1505,2033,15062,1090,15062,1090,1505,1090,1454,2033,1454,2033,1454,2043,1454,10883,1454,10883,1445xm10893,1445l10884,1445,10884,1454,10884,1505,10884,15062,10884,15072,10893,15072,10893,15062,10893,1505,10893,1454,10893,1445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b/>
          <w:sz w:val="18"/>
        </w:rPr>
        <w:t>Środki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trwałe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zmiana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4"/>
          <w:sz w:val="18"/>
        </w:rPr>
        <w:t> </w:t>
      </w:r>
      <w:r>
        <w:rPr>
          <w:b/>
          <w:spacing w:val="-2"/>
          <w:sz w:val="18"/>
        </w:rPr>
        <w:t>początkowej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"/>
        <w:gridCol w:w="1829"/>
        <w:gridCol w:w="1653"/>
        <w:gridCol w:w="1159"/>
        <w:gridCol w:w="1571"/>
        <w:gridCol w:w="1492"/>
      </w:tblGrid>
      <w:tr>
        <w:trPr>
          <w:trHeight w:val="733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ind w:left="134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ind w:left="258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653" w:type="dxa"/>
          </w:tcPr>
          <w:p>
            <w:pPr>
              <w:pStyle w:val="TableParagraph"/>
              <w:spacing w:line="261" w:lineRule="auto" w:before="45"/>
              <w:ind w:left="403" w:firstLine="139"/>
              <w:rPr>
                <w:sz w:val="18"/>
              </w:rPr>
            </w:pPr>
            <w:r>
              <w:rPr>
                <w:spacing w:val="-2"/>
                <w:sz w:val="18"/>
              </w:rPr>
              <w:t>Wartość początkowa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Zwiększenie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Zmniejszenie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końcowa</w:t>
            </w:r>
          </w:p>
        </w:tc>
      </w:tr>
      <w:tr>
        <w:trPr>
          <w:trHeight w:val="494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0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4.980,72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4.980,72</w:t>
            </w:r>
          </w:p>
        </w:tc>
      </w:tr>
      <w:tr>
        <w:trPr>
          <w:trHeight w:val="496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799.282,39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799.282,39</w:t>
            </w:r>
          </w:p>
        </w:tc>
      </w:tr>
      <w:tr>
        <w:trPr>
          <w:trHeight w:val="491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5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7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</w:tr>
      <w:tr>
        <w:trPr>
          <w:trHeight w:val="493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6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33.047,04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33.047,04</w:t>
            </w:r>
          </w:p>
        </w:tc>
      </w:tr>
      <w:tr>
        <w:trPr>
          <w:trHeight w:val="497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7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</w:tr>
      <w:tr>
        <w:trPr>
          <w:trHeight w:val="491" w:hRule="atLeast"/>
        </w:trPr>
        <w:tc>
          <w:tcPr>
            <w:tcW w:w="516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razem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841.613,92</w:t>
            </w:r>
          </w:p>
        </w:tc>
        <w:tc>
          <w:tcPr>
            <w:tcW w:w="1159" w:type="dxa"/>
          </w:tcPr>
          <w:p>
            <w:pPr>
              <w:pStyle w:val="TableParagraph"/>
              <w:spacing w:before="45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104.990,00</w:t>
            </w:r>
          </w:p>
        </w:tc>
        <w:tc>
          <w:tcPr>
            <w:tcW w:w="1571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-</w:t>
            </w:r>
          </w:p>
        </w:tc>
        <w:tc>
          <w:tcPr>
            <w:tcW w:w="1492" w:type="dxa"/>
          </w:tcPr>
          <w:p>
            <w:pPr>
              <w:pStyle w:val="TableParagraph"/>
              <w:spacing w:before="45"/>
              <w:ind w:left="44" w:right="3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946.603,92</w:t>
            </w:r>
          </w:p>
        </w:tc>
      </w:tr>
    </w:tbl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126"/>
        <w:rPr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0" w:after="17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w:t>Pozostałe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środki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trwałe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zmiana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2"/>
          <w:sz w:val="18"/>
        </w:rPr>
        <w:t> początkowej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1541"/>
        <w:gridCol w:w="1658"/>
        <w:gridCol w:w="1330"/>
        <w:gridCol w:w="1406"/>
        <w:gridCol w:w="1495"/>
      </w:tblGrid>
      <w:tr>
        <w:trPr>
          <w:trHeight w:val="733" w:hRule="atLeast"/>
        </w:trPr>
        <w:tc>
          <w:tcPr>
            <w:tcW w:w="518" w:type="dxa"/>
          </w:tcPr>
          <w:p>
            <w:pPr>
              <w:pStyle w:val="TableParagraph"/>
              <w:spacing w:before="47"/>
              <w:ind w:left="134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541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658" w:type="dxa"/>
          </w:tcPr>
          <w:p>
            <w:pPr>
              <w:pStyle w:val="TableParagraph"/>
              <w:spacing w:before="47"/>
              <w:ind w:left="111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początkowa</w:t>
            </w:r>
          </w:p>
        </w:tc>
        <w:tc>
          <w:tcPr>
            <w:tcW w:w="1330" w:type="dxa"/>
          </w:tcPr>
          <w:p>
            <w:pPr>
              <w:pStyle w:val="TableParagraph"/>
              <w:spacing w:before="47"/>
              <w:ind w:left="209"/>
              <w:rPr>
                <w:sz w:val="18"/>
              </w:rPr>
            </w:pPr>
            <w:r>
              <w:rPr>
                <w:spacing w:val="-2"/>
                <w:sz w:val="18"/>
              </w:rPr>
              <w:t>Zwiększenie</w:t>
            </w:r>
          </w:p>
        </w:tc>
        <w:tc>
          <w:tcPr>
            <w:tcW w:w="1406" w:type="dxa"/>
          </w:tcPr>
          <w:p>
            <w:pPr>
              <w:pStyle w:val="TableParagraph"/>
              <w:spacing w:before="47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Zmniejszenie</w:t>
            </w:r>
          </w:p>
        </w:tc>
        <w:tc>
          <w:tcPr>
            <w:tcW w:w="1495" w:type="dxa"/>
          </w:tcPr>
          <w:p>
            <w:pPr>
              <w:pStyle w:val="TableParagraph"/>
              <w:spacing w:before="47"/>
              <w:ind w:left="126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końcowa</w:t>
            </w:r>
          </w:p>
        </w:tc>
      </w:tr>
      <w:tr>
        <w:trPr>
          <w:trHeight w:val="2059" w:hRule="atLeast"/>
        </w:trPr>
        <w:tc>
          <w:tcPr>
            <w:tcW w:w="518" w:type="dxa"/>
          </w:tcPr>
          <w:p>
            <w:pPr>
              <w:pStyle w:val="TableParagraph"/>
              <w:spacing w:before="47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1" w:type="dxa"/>
          </w:tcPr>
          <w:p>
            <w:pPr>
              <w:pStyle w:val="TableParagraph"/>
              <w:spacing w:line="259" w:lineRule="auto" w:before="47"/>
              <w:ind w:left="518" w:right="161" w:hanging="341"/>
              <w:rPr>
                <w:sz w:val="18"/>
              </w:rPr>
            </w:pPr>
            <w:r>
              <w:rPr>
                <w:sz w:val="18"/>
              </w:rPr>
              <w:t>Pozostałe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środki </w:t>
            </w:r>
            <w:r>
              <w:rPr>
                <w:spacing w:val="-2"/>
                <w:sz w:val="18"/>
              </w:rPr>
              <w:t>Trwałe (013)</w:t>
            </w:r>
          </w:p>
          <w:p>
            <w:pPr>
              <w:pStyle w:val="TableParagraph"/>
              <w:spacing w:before="90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line="259" w:lineRule="auto"/>
              <w:ind w:left="386" w:right="37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WNiP </w:t>
            </w:r>
            <w:r>
              <w:rPr>
                <w:spacing w:val="-2"/>
                <w:sz w:val="18"/>
              </w:rPr>
              <w:t>(020)</w:t>
            </w:r>
          </w:p>
        </w:tc>
        <w:tc>
          <w:tcPr>
            <w:tcW w:w="1658" w:type="dxa"/>
          </w:tcPr>
          <w:p>
            <w:pPr>
              <w:pStyle w:val="TableParagraph"/>
              <w:spacing w:before="47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220.288,24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511"/>
              <w:rPr>
                <w:sz w:val="18"/>
              </w:rPr>
            </w:pPr>
            <w:r>
              <w:rPr>
                <w:spacing w:val="-2"/>
                <w:sz w:val="18"/>
              </w:rPr>
              <w:t>7.380,00</w:t>
            </w:r>
          </w:p>
        </w:tc>
        <w:tc>
          <w:tcPr>
            <w:tcW w:w="1330" w:type="dxa"/>
          </w:tcPr>
          <w:p>
            <w:pPr>
              <w:pStyle w:val="TableParagraph"/>
              <w:spacing w:before="47"/>
              <w:ind w:left="9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43.972,20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6" w:type="dxa"/>
          </w:tcPr>
          <w:p>
            <w:pPr>
              <w:pStyle w:val="TableParagraph"/>
              <w:spacing w:before="47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5" w:type="dxa"/>
          </w:tcPr>
          <w:p>
            <w:pPr>
              <w:pStyle w:val="TableParagraph"/>
              <w:spacing w:before="47"/>
              <w:ind w:left="339"/>
              <w:rPr>
                <w:sz w:val="18"/>
              </w:rPr>
            </w:pPr>
            <w:r>
              <w:rPr>
                <w:spacing w:val="-2"/>
                <w:sz w:val="18"/>
              </w:rPr>
              <w:t>264.260,44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431"/>
              <w:rPr>
                <w:sz w:val="18"/>
              </w:rPr>
            </w:pPr>
            <w:r>
              <w:rPr>
                <w:spacing w:val="-2"/>
                <w:sz w:val="18"/>
              </w:rPr>
              <w:t>7.380,00</w:t>
            </w:r>
          </w:p>
        </w:tc>
      </w:tr>
    </w:tbl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121"/>
        <w:rPr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1" w:after="16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w:t>Zmiana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umorzenia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środki</w:t>
      </w:r>
      <w:r>
        <w:rPr>
          <w:b/>
          <w:spacing w:val="-4"/>
          <w:sz w:val="18"/>
        </w:rPr>
        <w:t> </w:t>
      </w:r>
      <w:r>
        <w:rPr>
          <w:b/>
          <w:spacing w:val="-2"/>
          <w:sz w:val="18"/>
        </w:rPr>
        <w:t>trwałe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"/>
        <w:gridCol w:w="1539"/>
        <w:gridCol w:w="1277"/>
        <w:gridCol w:w="1304"/>
        <w:gridCol w:w="1028"/>
        <w:gridCol w:w="1593"/>
        <w:gridCol w:w="1336"/>
      </w:tblGrid>
      <w:tr>
        <w:trPr>
          <w:trHeight w:val="1214" w:hRule="atLeast"/>
        </w:trPr>
        <w:tc>
          <w:tcPr>
            <w:tcW w:w="516" w:type="dxa"/>
          </w:tcPr>
          <w:p>
            <w:pPr>
              <w:pStyle w:val="TableParagraph"/>
              <w:spacing w:before="50"/>
              <w:ind w:left="163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auto" w:before="50"/>
              <w:ind w:left="189" w:right="213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Wartość początkowa umorzenia ogólne</w:t>
            </w:r>
          </w:p>
        </w:tc>
        <w:tc>
          <w:tcPr>
            <w:tcW w:w="1304" w:type="dxa"/>
          </w:tcPr>
          <w:p>
            <w:pPr>
              <w:pStyle w:val="TableParagraph"/>
              <w:spacing w:before="50"/>
              <w:ind w:lef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zw.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407"/>
              <w:rPr>
                <w:sz w:val="18"/>
              </w:rPr>
            </w:pPr>
            <w:r>
              <w:rPr>
                <w:spacing w:val="-5"/>
                <w:sz w:val="18"/>
              </w:rPr>
              <w:t>zm</w:t>
            </w:r>
          </w:p>
        </w:tc>
        <w:tc>
          <w:tcPr>
            <w:tcW w:w="1593" w:type="dxa"/>
          </w:tcPr>
          <w:p>
            <w:pPr>
              <w:pStyle w:val="TableParagraph"/>
              <w:spacing w:line="259" w:lineRule="auto" w:before="50"/>
              <w:ind w:left="444" w:right="195" w:hanging="279"/>
              <w:rPr>
                <w:sz w:val="18"/>
              </w:rPr>
            </w:pPr>
            <w:r>
              <w:rPr>
                <w:sz w:val="18"/>
              </w:rPr>
              <w:t>Suma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umorzenia </w:t>
            </w:r>
            <w:r>
              <w:rPr>
                <w:spacing w:val="-2"/>
                <w:sz w:val="18"/>
              </w:rPr>
              <w:t>rocznego</w:t>
            </w:r>
          </w:p>
        </w:tc>
        <w:tc>
          <w:tcPr>
            <w:tcW w:w="1336" w:type="dxa"/>
          </w:tcPr>
          <w:p>
            <w:pPr>
              <w:pStyle w:val="TableParagraph"/>
              <w:spacing w:line="259" w:lineRule="auto" w:before="50"/>
              <w:ind w:left="410" w:hanging="154"/>
              <w:rPr>
                <w:sz w:val="18"/>
              </w:rPr>
            </w:pPr>
            <w:r>
              <w:rPr>
                <w:spacing w:val="-2"/>
                <w:sz w:val="18"/>
              </w:rPr>
              <w:t>Umorzenia ogólne</w:t>
            </w:r>
          </w:p>
        </w:tc>
      </w:tr>
      <w:tr>
        <w:trPr>
          <w:trHeight w:val="936" w:hRule="atLeast"/>
        </w:trPr>
        <w:tc>
          <w:tcPr>
            <w:tcW w:w="516" w:type="dxa"/>
          </w:tcPr>
          <w:p>
            <w:pPr>
              <w:pStyle w:val="TableParagraph"/>
              <w:spacing w:before="50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50"/>
              <w:ind w:left="0" w:right="4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183.852,40</w:t>
            </w:r>
          </w:p>
        </w:tc>
        <w:tc>
          <w:tcPr>
            <w:tcW w:w="1304" w:type="dxa"/>
          </w:tcPr>
          <w:p>
            <w:pPr>
              <w:pStyle w:val="TableParagraph"/>
              <w:spacing w:before="50"/>
              <w:ind w:left="0" w:right="96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0" w:right="9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50"/>
              <w:ind w:left="0" w:right="99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19.982,06</w:t>
            </w:r>
          </w:p>
        </w:tc>
        <w:tc>
          <w:tcPr>
            <w:tcW w:w="1336" w:type="dxa"/>
          </w:tcPr>
          <w:p>
            <w:pPr>
              <w:pStyle w:val="TableParagraph"/>
              <w:spacing w:before="50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203.834,46</w:t>
            </w:r>
          </w:p>
        </w:tc>
      </w:tr>
      <w:tr>
        <w:trPr>
          <w:trHeight w:val="558" w:hRule="atLeast"/>
        </w:trPr>
        <w:tc>
          <w:tcPr>
            <w:tcW w:w="516" w:type="dxa"/>
          </w:tcPr>
          <w:p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39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5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47"/>
              <w:ind w:left="273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  <w:tc>
          <w:tcPr>
            <w:tcW w:w="1304" w:type="dxa"/>
          </w:tcPr>
          <w:p>
            <w:pPr>
              <w:pStyle w:val="TableParagraph"/>
              <w:spacing w:before="47"/>
              <w:ind w:left="0" w:right="96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336" w:type="dxa"/>
          </w:tcPr>
          <w:p>
            <w:pPr>
              <w:pStyle w:val="TableParagraph"/>
              <w:spacing w:before="47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</w:tr>
      <w:tr>
        <w:trPr>
          <w:trHeight w:val="561" w:hRule="atLeast"/>
        </w:trPr>
        <w:tc>
          <w:tcPr>
            <w:tcW w:w="516" w:type="dxa"/>
          </w:tcPr>
          <w:p>
            <w:pPr>
              <w:pStyle w:val="TableParagraph"/>
              <w:spacing w:before="50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6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50"/>
              <w:ind w:left="227"/>
              <w:rPr>
                <w:sz w:val="18"/>
              </w:rPr>
            </w:pPr>
            <w:r>
              <w:rPr>
                <w:spacing w:val="-2"/>
                <w:sz w:val="18"/>
              </w:rPr>
              <w:t>23.147,77</w:t>
            </w:r>
          </w:p>
        </w:tc>
        <w:tc>
          <w:tcPr>
            <w:tcW w:w="1304" w:type="dxa"/>
          </w:tcPr>
          <w:p>
            <w:pPr>
              <w:pStyle w:val="TableParagraph"/>
              <w:spacing w:before="52"/>
              <w:ind w:left="46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378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50"/>
              <w:ind w:left="0" w:right="9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3.304,70</w:t>
            </w:r>
          </w:p>
        </w:tc>
        <w:tc>
          <w:tcPr>
            <w:tcW w:w="1336" w:type="dxa"/>
          </w:tcPr>
          <w:p>
            <w:pPr>
              <w:pStyle w:val="TableParagraph"/>
              <w:spacing w:before="50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26.452,47</w:t>
            </w:r>
          </w:p>
        </w:tc>
      </w:tr>
      <w:tr>
        <w:trPr>
          <w:trHeight w:val="558" w:hRule="atLeast"/>
        </w:trPr>
        <w:tc>
          <w:tcPr>
            <w:tcW w:w="516" w:type="dxa"/>
          </w:tcPr>
          <w:p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39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7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47"/>
              <w:ind w:left="0" w:right="8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304" w:type="dxa"/>
          </w:tcPr>
          <w:p>
            <w:pPr>
              <w:pStyle w:val="TableParagraph"/>
              <w:spacing w:before="50"/>
              <w:ind w:left="46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48"/>
              <w:ind w:left="378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47"/>
              <w:ind w:left="0" w:right="9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  <w:tc>
          <w:tcPr>
            <w:tcW w:w="1336" w:type="dxa"/>
          </w:tcPr>
          <w:p>
            <w:pPr>
              <w:pStyle w:val="TableParagraph"/>
              <w:spacing w:before="47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</w:tr>
      <w:tr>
        <w:trPr>
          <w:trHeight w:val="508" w:hRule="atLeast"/>
        </w:trPr>
        <w:tc>
          <w:tcPr>
            <w:tcW w:w="516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Razem</w:t>
            </w:r>
          </w:p>
        </w:tc>
        <w:tc>
          <w:tcPr>
            <w:tcW w:w="1277" w:type="dxa"/>
          </w:tcPr>
          <w:p>
            <w:pPr>
              <w:pStyle w:val="TableParagraph"/>
              <w:spacing w:before="50"/>
              <w:ind w:left="0" w:right="93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211.303,94</w:t>
            </w:r>
          </w:p>
        </w:tc>
        <w:tc>
          <w:tcPr>
            <w:tcW w:w="1304" w:type="dxa"/>
          </w:tcPr>
          <w:p>
            <w:pPr>
              <w:pStyle w:val="TableParagraph"/>
              <w:spacing w:before="50"/>
              <w:ind w:left="45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0" w:right="97"/>
              <w:jc w:val="right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50"/>
              <w:ind w:left="0" w:right="96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128.276,76</w:t>
            </w:r>
          </w:p>
        </w:tc>
        <w:tc>
          <w:tcPr>
            <w:tcW w:w="1336" w:type="dxa"/>
          </w:tcPr>
          <w:p>
            <w:pPr>
              <w:pStyle w:val="TableParagraph"/>
              <w:spacing w:before="50"/>
              <w:ind w:left="0" w:right="9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339.580,70</w:t>
            </w:r>
          </w:p>
        </w:tc>
      </w:tr>
    </w:tbl>
    <w:p>
      <w:pPr>
        <w:pStyle w:val="TableParagraph"/>
        <w:spacing w:after="0"/>
        <w:jc w:val="right"/>
        <w:rPr>
          <w:b/>
          <w:sz w:val="18"/>
        </w:rPr>
        <w:sectPr>
          <w:pgSz w:w="11910" w:h="16840"/>
          <w:pgMar w:top="1420" w:bottom="280" w:left="992" w:right="992"/>
        </w:sectPr>
      </w:pPr>
    </w:p>
    <w:p>
      <w:pPr>
        <w:spacing w:line="240" w:lineRule="auto" w:before="1"/>
        <w:rPr>
          <w:b/>
          <w:sz w:val="2"/>
        </w:rPr>
      </w:pPr>
      <w:r>
        <w:rPr>
          <w:b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1327657</wp:posOffset>
                </wp:positionH>
                <wp:positionV relativeFrom="page">
                  <wp:posOffset>1630933</wp:posOffset>
                </wp:positionV>
                <wp:extent cx="4920615" cy="204279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4920615" cy="2042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99"/>
                              <w:gridCol w:w="1524"/>
                              <w:gridCol w:w="1543"/>
                              <w:gridCol w:w="1704"/>
                              <w:gridCol w:w="828"/>
                              <w:gridCol w:w="1520"/>
                            </w:tblGrid>
                            <w:tr>
                              <w:trPr>
                                <w:trHeight w:val="1166" w:hRule="atLeast"/>
                              </w:trPr>
                              <w:tc>
                                <w:tcPr>
                                  <w:tcW w:w="499" w:type="dxa"/>
                                </w:tcPr>
                                <w:p>
                                  <w:pPr>
                                    <w:pStyle w:val="TableParagraph"/>
                                    <w:spacing w:before="47"/>
                                    <w:ind w:left="13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47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auto" w:before="47"/>
                                    <w:ind w:left="336" w:right="332" w:hanging="2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Wartość początkowa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6" w:lineRule="exact"/>
                                    <w:ind w:left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umorzenia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ogólne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</w:tcPr>
                                <w:p>
                                  <w:pPr>
                                    <w:pStyle w:val="TableParagraph"/>
                                    <w:spacing w:before="47"/>
                                    <w:ind w:left="44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zw.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pStyle w:val="TableParagraph"/>
                                    <w:spacing w:before="47"/>
                                    <w:ind w:left="3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zm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</w:tcPr>
                                <w:p>
                                  <w:pPr>
                                    <w:pStyle w:val="TableParagraph"/>
                                    <w:spacing w:before="47"/>
                                    <w:ind w:left="9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Umorzenia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ogólne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6" w:hRule="atLeast"/>
                              </w:trPr>
                              <w:tc>
                                <w:tcPr>
                                  <w:tcW w:w="499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4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221" w:val="left" w:leader="none"/>
                                    </w:tabs>
                                    <w:spacing w:line="199" w:lineRule="exact" w:before="47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Pozostałe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ŚT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47"/>
                                    <w:ind w:left="0" w:right="9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220.288,24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47"/>
                                    <w:ind w:left="92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43.972,20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47"/>
                                    <w:ind w:left="3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47"/>
                                    <w:ind w:left="59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264.260,44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1" w:hRule="atLeast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(072)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384" w:hRule="atLeast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1"/>
                                    <w:ind w:left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59" w:lineRule="auto" w:before="153"/>
                                    <w:ind w:left="105" w:right="95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>WNiP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(072)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1"/>
                                    <w:ind w:left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0" w:right="9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7.380,00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78"/>
                                    <w:ind w:left="0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3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28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1"/>
                                    <w:ind w:left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0" w:right="9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37"/>
                                    <w:ind w:left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7.380,00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04.539993pt;margin-top:128.419968pt;width:387.45pt;height:160.85pt;mso-position-horizontal-relative:page;mso-position-vertical-relative:page;z-index:15729152" type="#_x0000_t202" id="docshape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99"/>
                        <w:gridCol w:w="1524"/>
                        <w:gridCol w:w="1543"/>
                        <w:gridCol w:w="1704"/>
                        <w:gridCol w:w="828"/>
                        <w:gridCol w:w="1520"/>
                      </w:tblGrid>
                      <w:tr>
                        <w:trPr>
                          <w:trHeight w:val="1166" w:hRule="atLeast"/>
                        </w:trPr>
                        <w:tc>
                          <w:tcPr>
                            <w:tcW w:w="499" w:type="dxa"/>
                          </w:tcPr>
                          <w:p>
                            <w:pPr>
                              <w:pStyle w:val="TableParagraph"/>
                              <w:spacing w:before="47"/>
                              <w:ind w:left="134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47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543" w:type="dxa"/>
                          </w:tcPr>
                          <w:p>
                            <w:pPr>
                              <w:pStyle w:val="TableParagraph"/>
                              <w:spacing w:line="259" w:lineRule="auto" w:before="47"/>
                              <w:ind w:left="336" w:right="332" w:hanging="2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Wartość początkowa</w:t>
                            </w:r>
                          </w:p>
                          <w:p>
                            <w:pPr>
                              <w:pStyle w:val="TableParagraph"/>
                              <w:spacing w:line="206" w:lineRule="exact"/>
                              <w:ind w:left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umorzenia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ogólne</w:t>
                            </w:r>
                          </w:p>
                        </w:tc>
                        <w:tc>
                          <w:tcPr>
                            <w:tcW w:w="1704" w:type="dxa"/>
                          </w:tcPr>
                          <w:p>
                            <w:pPr>
                              <w:pStyle w:val="TableParagraph"/>
                              <w:spacing w:before="47"/>
                              <w:ind w:left="44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zw.</w:t>
                            </w:r>
                          </w:p>
                        </w:tc>
                        <w:tc>
                          <w:tcPr>
                            <w:tcW w:w="828" w:type="dxa"/>
                          </w:tcPr>
                          <w:p>
                            <w:pPr>
                              <w:pStyle w:val="TableParagraph"/>
                              <w:spacing w:before="47"/>
                              <w:ind w:left="30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zm</w:t>
                            </w:r>
                          </w:p>
                        </w:tc>
                        <w:tc>
                          <w:tcPr>
                            <w:tcW w:w="1520" w:type="dxa"/>
                          </w:tcPr>
                          <w:p>
                            <w:pPr>
                              <w:pStyle w:val="TableParagraph"/>
                              <w:spacing w:before="47"/>
                              <w:ind w:left="9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Umorzenia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ogólne</w:t>
                            </w:r>
                          </w:p>
                        </w:tc>
                      </w:tr>
                      <w:tr>
                        <w:trPr>
                          <w:trHeight w:val="266" w:hRule="atLeast"/>
                        </w:trPr>
                        <w:tc>
                          <w:tcPr>
                            <w:tcW w:w="499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4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24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1221" w:val="left" w:leader="none"/>
                              </w:tabs>
                              <w:spacing w:line="199" w:lineRule="exact" w:before="47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Pozostałe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ŚT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47"/>
                              <w:ind w:left="0" w:right="9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220.288,24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47"/>
                              <w:ind w:left="92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43.972,20</w:t>
                            </w:r>
                          </w:p>
                        </w:tc>
                        <w:tc>
                          <w:tcPr>
                            <w:tcW w:w="828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47"/>
                              <w:ind w:left="35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47"/>
                              <w:ind w:left="59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264.260,44</w:t>
                            </w:r>
                          </w:p>
                        </w:tc>
                      </w:tr>
                      <w:tr>
                        <w:trPr>
                          <w:trHeight w:val="371" w:hRule="atLeast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24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(072)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28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384" w:hRule="atLeast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21"/>
                              <w:ind w:left="0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24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line="259" w:lineRule="auto" w:before="153"/>
                              <w:ind w:left="105" w:right="95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>WNiP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(072)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21"/>
                              <w:ind w:left="0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0" w:right="9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7.380,00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78"/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3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28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21"/>
                              <w:ind w:left="0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0" w:right="9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37"/>
                              <w:ind w:left="0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7.380,00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4591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7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tabs>
                <w:tab w:pos="827" w:val="left" w:leader="none"/>
              </w:tabs>
              <w:ind w:left="46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4.</w:t>
            </w:r>
            <w:r>
              <w:rPr>
                <w:b/>
                <w:sz w:val="18"/>
              </w:rPr>
              <w:tab/>
              <w:t>Zmiana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wartości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umorzenia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pozostałe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środki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trwałe</w:t>
            </w:r>
          </w:p>
        </w:tc>
      </w:tr>
      <w:tr>
        <w:trPr>
          <w:trHeight w:val="846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1.2.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rPr>
                <w:sz w:val="22"/>
              </w:rPr>
            </w:pPr>
            <w:r>
              <w:rPr>
                <w:sz w:val="22"/>
              </w:rPr>
              <w:t>aktualną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rynkową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trwałych,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dóbr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kultury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ile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jednostka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dysponuje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takimi </w:t>
            </w:r>
            <w:r>
              <w:rPr>
                <w:spacing w:val="-2"/>
                <w:sz w:val="22"/>
              </w:rPr>
              <w:t>informacjami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37" w:hRule="atLeast"/>
        </w:trPr>
        <w:tc>
          <w:tcPr>
            <w:tcW w:w="953" w:type="dxa"/>
          </w:tcPr>
          <w:p>
            <w:pPr>
              <w:pStyle w:val="TableParagraph"/>
              <w:spacing w:before="54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4"/>
              <w:ind w:right="99"/>
              <w:jc w:val="both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dokonanych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trakcie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roku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obrotowego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odpisów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aktualizujących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aktywów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trwałych odrębnie dla długoterminowych aktywów niefinansowych oraz długoterminowych aktywów </w:t>
            </w:r>
            <w:r>
              <w:rPr>
                <w:spacing w:val="-2"/>
                <w:sz w:val="22"/>
              </w:rPr>
              <w:t>finansowych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3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53" w:hRule="atLeast"/>
        </w:trPr>
        <w:tc>
          <w:tcPr>
            <w:tcW w:w="953" w:type="dxa"/>
          </w:tcPr>
          <w:p>
            <w:pPr>
              <w:pStyle w:val="TableParagraph"/>
              <w:spacing w:before="53"/>
              <w:rPr>
                <w:sz w:val="22"/>
              </w:rPr>
            </w:pPr>
            <w:r>
              <w:rPr>
                <w:spacing w:val="-4"/>
                <w:sz w:val="22"/>
              </w:rPr>
              <w:t>1.4.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3"/>
              <w:rPr>
                <w:sz w:val="22"/>
              </w:rPr>
            </w:pPr>
            <w:r>
              <w:rPr>
                <w:sz w:val="22"/>
              </w:rPr>
              <w:t>wartość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gruntów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użytkowanych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wieczyście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47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1.5.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rPr>
                <w:sz w:val="22"/>
              </w:rPr>
            </w:pPr>
            <w:r>
              <w:rPr>
                <w:sz w:val="22"/>
              </w:rPr>
              <w:t>wartość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nieamortyzowanych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nieumarzanych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przez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jednostkę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trwałych,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używanych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na podstawie umów najmu, dzierżawy i innych umów, w tym z tytułu umów leasingu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44" w:hRule="atLeast"/>
        </w:trPr>
        <w:tc>
          <w:tcPr>
            <w:tcW w:w="953" w:type="dxa"/>
          </w:tcPr>
          <w:p>
            <w:pPr>
              <w:pStyle w:val="TableParagraph"/>
              <w:spacing w:before="53"/>
              <w:rPr>
                <w:sz w:val="22"/>
              </w:rPr>
            </w:pPr>
            <w:r>
              <w:rPr>
                <w:spacing w:val="-4"/>
                <w:sz w:val="22"/>
              </w:rPr>
              <w:t>1.6.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3"/>
              <w:rPr>
                <w:sz w:val="22"/>
              </w:rPr>
            </w:pPr>
            <w:r>
              <w:rPr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p>
      <w:pPr>
        <w:pStyle w:val="TableParagraph"/>
        <w:spacing w:after="0"/>
        <w:rPr>
          <w:b/>
          <w:sz w:val="22"/>
        </w:rPr>
        <w:sectPr>
          <w:pgSz w:w="11910" w:h="16840"/>
          <w:pgMar w:top="17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1427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1.7.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ind w:right="96"/>
              <w:jc w:val="both"/>
              <w:rPr>
                <w:sz w:val="22"/>
              </w:rPr>
            </w:pPr>
            <w:r>
              <w:rPr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</w:t>
            </w:r>
            <w:r>
              <w:rPr>
                <w:spacing w:val="-2"/>
                <w:sz w:val="22"/>
              </w:rPr>
              <w:t>zagrożonych)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3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p>
      <w:pPr>
        <w:spacing w:line="240" w:lineRule="auto" w:before="69" w:after="0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83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1.8.</w:t>
            </w:r>
          </w:p>
        </w:tc>
        <w:tc>
          <w:tcPr>
            <w:tcW w:w="8850" w:type="dxa"/>
          </w:tcPr>
          <w:p>
            <w:pPr>
              <w:pStyle w:val="TableParagraph"/>
              <w:spacing w:line="256" w:lineRule="auto" w:before="39"/>
              <w:rPr>
                <w:sz w:val="22"/>
              </w:rPr>
            </w:pPr>
            <w:r>
              <w:rPr>
                <w:sz w:val="22"/>
              </w:rPr>
              <w:t>dane o stanie rezerw według celu ich utworzenia na początek roku obrotowego, zwiększeniach,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wykorzystaniu, rozwiązaniu i stanie końcowym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3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1.9.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rPr>
                <w:sz w:val="22"/>
              </w:rPr>
            </w:pPr>
            <w:r>
              <w:rPr>
                <w:sz w:val="22"/>
              </w:rPr>
              <w:t>podział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zobowiązań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długoterminowych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pozostałym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dnia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bilansowego,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przewidywanym umową lub wynikającym z innego tytułu prawnego, okresie spłaty: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a)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roku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4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5"/>
                <w:sz w:val="22"/>
              </w:rPr>
              <w:t>b)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c)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411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1.10.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ind w:right="101"/>
              <w:jc w:val="both"/>
              <w:rPr>
                <w:sz w:val="22"/>
              </w:rPr>
            </w:pPr>
            <w:r>
              <w:rPr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1.11.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rPr>
                <w:sz w:val="22"/>
              </w:rPr>
            </w:pPr>
            <w:r>
              <w:rPr>
                <w:sz w:val="22"/>
              </w:rPr>
              <w:t>łączną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zobowiązań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zabezpieczonych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majątku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jednostki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ze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wskazaniem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charakteru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formy tych zabezpieczeń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23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1.12.</w:t>
            </w:r>
          </w:p>
        </w:tc>
        <w:tc>
          <w:tcPr>
            <w:tcW w:w="8850" w:type="dxa"/>
          </w:tcPr>
          <w:p>
            <w:pPr>
              <w:pStyle w:val="TableParagraph"/>
              <w:spacing w:line="273" w:lineRule="auto" w:before="39"/>
              <w:rPr>
                <w:sz w:val="22"/>
              </w:rPr>
            </w:pPr>
            <w:r>
              <w:rPr>
                <w:sz w:val="22"/>
              </w:rPr>
              <w:t>łączną kwotę zobowiązań warunkowych, w tym również udzielonych przez jednostkę gwarancji i poręczeń, także wekslowych, niewykazanych w bilansie, ze wskazaniem zobowiązań</w:t>
            </w:r>
          </w:p>
          <w:p>
            <w:pPr>
              <w:pStyle w:val="TableParagraph"/>
              <w:spacing w:before="28"/>
              <w:rPr>
                <w:sz w:val="22"/>
              </w:rPr>
            </w:pPr>
            <w:r>
              <w:rPr>
                <w:sz w:val="22"/>
              </w:rPr>
              <w:t>zabezpieczonych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majątku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jednostki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charakteru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tych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zabezpieczeń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708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1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ind w:right="99"/>
              <w:jc w:val="both"/>
              <w:rPr>
                <w:sz w:val="22"/>
              </w:rPr>
            </w:pPr>
            <w:r>
              <w:rPr>
                <w:sz w:val="22"/>
              </w:rPr>
              <w:t>wykaz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istotnych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pozycji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czynnych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biernych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rozliczeń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międzyokresowych,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czynnych rozliczeń międzyokresowych kosztów stanowiących różnicę między wartością otrzymanych finansowych składników aktywów a zobowiązaniem zapłaty za nie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1.14.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łączną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otrzymanych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przez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jednostkę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gwarancji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poręczeń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niewykazanych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bilansie</w:t>
            </w:r>
          </w:p>
        </w:tc>
      </w:tr>
      <w:tr>
        <w:trPr>
          <w:trHeight w:val="708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wypłaconych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pieniężnych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świadczenia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pracownicze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1.16.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  <w:tr>
        <w:trPr>
          <w:trHeight w:val="53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95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534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2.1.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wysokość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odpisów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aktualizujących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zapasów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2.2.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rPr>
                <w:sz w:val="22"/>
              </w:rPr>
            </w:pPr>
            <w:r>
              <w:rPr>
                <w:sz w:val="22"/>
              </w:rPr>
              <w:t>koszt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wytworzenia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trwałych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budowie,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odsetki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różnice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kursowe,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które powiększyły koszt wytworzenia środków trwałych w budowie w roku obrotowym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8" w:hRule="atLeast"/>
        </w:trPr>
        <w:tc>
          <w:tcPr>
            <w:tcW w:w="953" w:type="dxa"/>
          </w:tcPr>
          <w:p>
            <w:pPr>
              <w:pStyle w:val="TableParagraph"/>
              <w:spacing w:before="40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40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charakter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poszczególnych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pozycji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przychodów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kosztów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nadzwyczajnej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wartości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lub które wystąpiły incydentalnie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1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ind w:right="98"/>
              <w:jc w:val="both"/>
              <w:rPr>
                <w:sz w:val="22"/>
              </w:rPr>
            </w:pPr>
            <w:r>
              <w:rPr>
                <w:sz w:val="22"/>
              </w:rPr>
              <w:t>informację o kwocie należności z tytułu podatków realizowanych przez organy podatkowe podległe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ministrowi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właściwemu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spraw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finansów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publicznych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wykazywanych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sprawozdaniu z wykonania planu dochodów budżetowych</w:t>
            </w:r>
          </w:p>
        </w:tc>
      </w:tr>
      <w:tr>
        <w:trPr>
          <w:trHeight w:val="71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4"/>
                <w:sz w:val="22"/>
              </w:rPr>
              <w:t>2.5.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54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informacje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niż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wymienione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powyżej,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jeżeli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mogłyby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istotny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sposób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wpłynąć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ocenę sytuacji majątkowej i finansowej oraz wynik finansowy jednostki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sectPr>
      <w:pgSz w:w="11910" w:h="16840"/>
      <w:pgMar w:top="140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874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684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488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292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901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0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0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1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18"/>
      <w:szCs w:val="18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66"/>
      <w:ind w:left="-1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after="16"/>
      <w:ind w:left="1873" w:hanging="360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dcterms:created xsi:type="dcterms:W3CDTF">2026-05-07T06:56:58Z</dcterms:created>
  <dcterms:modified xsi:type="dcterms:W3CDTF">2026-05-07T06:56:58Z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2026-04-29T00:00:00Z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2026-05-07T00:00:00Z</vt:filetime>
  </property>
  <property fmtid="{D5CDD505-2E9C-101B-9397-08002B2CF9AE}" pid="5" name="Producer">
    <vt:lpwstr>Microsoft® Word 2024</vt:lpwstr>
  </property>
</Properties>
</file>